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D0E" w14:textId="77777777" w:rsidR="00E137A2" w:rsidRPr="00001782" w:rsidRDefault="00E137A2" w:rsidP="00E5227B">
      <w:pPr>
        <w:tabs>
          <w:tab w:val="left" w:pos="426"/>
        </w:tabs>
        <w:spacing w:after="0" w:line="240" w:lineRule="auto"/>
        <w:ind w:left="142"/>
        <w:rPr>
          <w:color w:val="FF0000"/>
        </w:rPr>
      </w:pPr>
    </w:p>
    <w:p w14:paraId="6C126748" w14:textId="77777777" w:rsidR="00E137A2" w:rsidRPr="00E137A2" w:rsidRDefault="00E137A2" w:rsidP="00E5227B">
      <w:pPr>
        <w:tabs>
          <w:tab w:val="left" w:pos="426"/>
        </w:tabs>
        <w:spacing w:after="0" w:line="240" w:lineRule="auto"/>
        <w:ind w:left="142"/>
      </w:pPr>
    </w:p>
    <w:p w14:paraId="19113403" w14:textId="77777777" w:rsidR="00AE1FEB" w:rsidRPr="00AE1FEB" w:rsidRDefault="00AE1FEB" w:rsidP="00AE1FE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 w:rsidRPr="00AE1FEB">
        <w:rPr>
          <w:b/>
          <w:sz w:val="32"/>
          <w:szCs w:val="32"/>
          <w:lang w:val="de-CH"/>
        </w:rPr>
        <w:t>Ausschreibungstext</w:t>
      </w:r>
    </w:p>
    <w:p w14:paraId="44051E7F" w14:textId="2550F8FD" w:rsidR="00737D72" w:rsidRPr="009D71ED" w:rsidRDefault="00AE1FEB" w:rsidP="00AE1FEB">
      <w:pPr>
        <w:tabs>
          <w:tab w:val="left" w:pos="426"/>
        </w:tabs>
        <w:spacing w:after="0" w:line="240" w:lineRule="auto"/>
        <w:ind w:left="142"/>
        <w:rPr>
          <w:lang w:val="de-CH"/>
        </w:rPr>
      </w:pPr>
      <w:r w:rsidRPr="00AE1FEB">
        <w:rPr>
          <w:b/>
          <w:sz w:val="32"/>
          <w:szCs w:val="32"/>
          <w:lang w:val="de-CH"/>
        </w:rPr>
        <w:t xml:space="preserve">Drehflügeltürantriebe FD </w:t>
      </w:r>
      <w:r w:rsidRPr="009D71ED">
        <w:rPr>
          <w:b/>
          <w:sz w:val="32"/>
          <w:szCs w:val="32"/>
          <w:lang w:val="de-CH"/>
        </w:rPr>
        <w:t>10</w:t>
      </w:r>
      <w:r w:rsidR="00001782" w:rsidRPr="009D71ED">
        <w:rPr>
          <w:b/>
          <w:sz w:val="32"/>
          <w:szCs w:val="32"/>
          <w:lang w:val="de-CH"/>
        </w:rPr>
        <w:t>, FD</w:t>
      </w:r>
      <w:r w:rsidR="00DE0DC8">
        <w:rPr>
          <w:b/>
          <w:sz w:val="32"/>
          <w:szCs w:val="32"/>
          <w:lang w:val="de-CH"/>
        </w:rPr>
        <w:t xml:space="preserve"> </w:t>
      </w:r>
      <w:r w:rsidR="00001782" w:rsidRPr="009D71ED">
        <w:rPr>
          <w:b/>
          <w:sz w:val="32"/>
          <w:szCs w:val="32"/>
          <w:lang w:val="de-CH"/>
        </w:rPr>
        <w:t>10-F</w:t>
      </w:r>
      <w:r w:rsidRPr="009D71ED">
        <w:rPr>
          <w:b/>
          <w:sz w:val="32"/>
          <w:szCs w:val="32"/>
          <w:lang w:val="de-CH"/>
        </w:rPr>
        <w:t xml:space="preserve"> </w:t>
      </w:r>
    </w:p>
    <w:p w14:paraId="136FCBF3" w14:textId="77777777" w:rsidR="00647CE5" w:rsidRPr="009D71ED" w:rsidRDefault="00647CE5" w:rsidP="00E522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42EFECA3" w14:textId="77777777" w:rsidR="0004302F" w:rsidRPr="009D71ED" w:rsidRDefault="0004302F" w:rsidP="00E522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09560E5F" w14:textId="2E6CBB28" w:rsidR="00AE1FEB" w:rsidRPr="009D71ED" w:rsidRDefault="00AE1FEB" w:rsidP="00BC2977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9D71ED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Drehflügeltürantriebe FD 10 (Standard)</w:t>
      </w:r>
      <w:r w:rsidR="00001782" w:rsidRPr="009D71ED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, FD</w:t>
      </w:r>
      <w:r w:rsidR="00DE0DC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 </w:t>
      </w:r>
      <w:r w:rsidR="00001782" w:rsidRPr="009D71ED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10-F</w:t>
      </w:r>
      <w:r w:rsidRPr="009D71ED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 </w:t>
      </w:r>
    </w:p>
    <w:p w14:paraId="45720E3B" w14:textId="1C54BEAE" w:rsidR="00BC2977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Drehflügeltür-Antriebe FD 10, TÜV geprüft nach EN 16005 und DIN 18650. Die Antriebe sind konsequent auf Leistung, Langlebigkeit und einen sehr leisen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Lauf ausgelegt. Geeignet für Türen mit einer Türblattbreite bis 1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250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mm 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(11</w:t>
      </w:r>
      <w:r w:rsidR="003C1F6E">
        <w:rPr>
          <w:rFonts w:asciiTheme="minorHAnsi" w:eastAsiaTheme="minorHAnsi" w:hAnsiTheme="minorHAnsi" w:cstheme="minorBidi"/>
          <w:sz w:val="22"/>
          <w:szCs w:val="22"/>
          <w:lang w:val="de-CH"/>
        </w:rPr>
        <w:t>0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0mm bei Gleitgestänge)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und Türflügelgewicht bis 150 kg.</w:t>
      </w:r>
    </w:p>
    <w:p w14:paraId="4398BE5B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5CB897E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="0087788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FD 10</w:t>
      </w:r>
      <w:r w:rsidR="0087788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Standard</w:t>
      </w:r>
    </w:p>
    <w:p w14:paraId="7C6677D8" w14:textId="7A8228F6" w:rsidR="009E1E6E" w:rsidRPr="00CB164A" w:rsidRDefault="009E1E6E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FD</w:t>
      </w:r>
      <w:r w:rsidR="006714A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>10-F</w:t>
      </w:r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Brandschutz (mit DIBt-Zulassung)</w:t>
      </w:r>
    </w:p>
    <w:p w14:paraId="021087D8" w14:textId="77777777" w:rsidR="00AE1FEB" w:rsidRPr="00BC2977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F380C03" w14:textId="243E9BEC" w:rsidR="00BC2977" w:rsidRDefault="00AE1FEB" w:rsidP="00BC2977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Antriebskomponenten und Steuerung in formschöner Verschalung.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Full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-Energy-Antrieb mit integrierter/konfigurierbarer Low-Energy-Funktion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(für den Betrieb ohne 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Sicherheitssensorik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). Einfache, über das integrierte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Grafik-Display geführte Inbetriebnahme und Bedienung.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Im Seitendeckel integrierter 3-Stellen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-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Programmwahlschalter.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Anschlussklemmen für Bedienungs- und Sicherheitselemente sowie E-Öffner und Motorenschlösser.</w:t>
      </w:r>
    </w:p>
    <w:p w14:paraId="34319ED1" w14:textId="77777777" w:rsidR="00AE1FEB" w:rsidRPr="00097951" w:rsidRDefault="00AE1FEB" w:rsidP="00BC2977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EA68C98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 und Verschalung</w:t>
      </w:r>
    </w:p>
    <w:p w14:paraId="066C86CD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Abmessungen: 70 mm x 125 mm x 730 mm (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HxTxB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)</w:t>
      </w:r>
    </w:p>
    <w:p w14:paraId="0C7C2963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Verschalung Aluminium E6/EV1, farblos eloxiert</w:t>
      </w:r>
    </w:p>
    <w:p w14:paraId="124C7650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Verschalung in Chromstahl geschliffen</w:t>
      </w:r>
    </w:p>
    <w:p w14:paraId="1A638925" w14:textId="77777777" w:rsidR="00097951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Durchgehende Verschalung Aluminium E6/EV1, farblos eloxiert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(für Doppelflügeltüren)</w:t>
      </w:r>
    </w:p>
    <w:p w14:paraId="77911F1D" w14:textId="1D2E6C40" w:rsidR="009D71ED" w:rsidRPr="00AE1FEB" w:rsidRDefault="009D71ED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4A5119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Durchgehende Verschalung in Chromstahl geschliffen (für Doppelflügeltüren)</w:t>
      </w:r>
    </w:p>
    <w:p w14:paraId="1563911A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7C245C6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Ausführungsmöglichkeiten</w:t>
      </w:r>
    </w:p>
    <w:p w14:paraId="62FB80AA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</w:t>
      </w:r>
    </w:p>
    <w:p w14:paraId="6583DB63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(Doppelflügeltür)</w:t>
      </w:r>
    </w:p>
    <w:p w14:paraId="0E8458CF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Fluchtwegfunktion</w:t>
      </w:r>
    </w:p>
    <w:p w14:paraId="064FA9A3" w14:textId="77777777" w:rsidR="009E1E6E" w:rsidRPr="00CB164A" w:rsidRDefault="009E1E6E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Brandschutzfunktion</w:t>
      </w:r>
    </w:p>
    <w:p w14:paraId="392B7AAD" w14:textId="77777777" w:rsidR="009E1E6E" w:rsidRPr="00CB164A" w:rsidRDefault="009E1E6E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B164A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Fluchtweg- und Brandschutzfunktion</w:t>
      </w:r>
    </w:p>
    <w:p w14:paraId="540E1BFC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C5463EB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Einbau- und </w:t>
      </w:r>
      <w:proofErr w:type="spellStart"/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Gestängevarianten</w:t>
      </w:r>
      <w:proofErr w:type="spellEnd"/>
    </w:p>
    <w:p w14:paraId="0C8A1241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Gleitgestänge drückend</w:t>
      </w:r>
    </w:p>
    <w:p w14:paraId="27EAFFF6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Gleitgestänge ziehend</w:t>
      </w:r>
    </w:p>
    <w:p w14:paraId="7D6A4A9E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Normalgestänge drückend (beste Kraftumsetzung)</w:t>
      </w:r>
    </w:p>
    <w:p w14:paraId="71BD8FD3" w14:textId="3A9615D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Flügelmontage mit Gleitgestänge drückend (bei geringer Sturzhöhe)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*</w:t>
      </w:r>
    </w:p>
    <w:p w14:paraId="10437862" w14:textId="2AD09A85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Flügelmontage mit Gleitgestänge ziehend (bei geringer Sturzhöhe)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*</w:t>
      </w:r>
    </w:p>
    <w:p w14:paraId="076DFC48" w14:textId="56B0DE86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Flügelmontage mit Normalgestänge drückend (bei geringer Sturzhöhe)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*</w:t>
      </w:r>
    </w:p>
    <w:p w14:paraId="5A55A839" w14:textId="7B1CF282" w:rsidR="00A24743" w:rsidRDefault="00A24743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*Flügelmontage nur bei FD 10 möglich</w:t>
      </w:r>
    </w:p>
    <w:p w14:paraId="2173FDDF" w14:textId="17E3E298" w:rsidR="00FB5736" w:rsidRDefault="00FB5736">
      <w:pPr>
        <w:rPr>
          <w:lang w:val="de-CH"/>
        </w:rPr>
      </w:pPr>
      <w:r>
        <w:rPr>
          <w:lang w:val="de-CH"/>
        </w:rPr>
        <w:br w:type="page"/>
      </w:r>
    </w:p>
    <w:p w14:paraId="1C78A46F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9DF11D3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Zubehör und Funktionserweiterungen</w:t>
      </w:r>
    </w:p>
    <w:p w14:paraId="7DBBC63B" w14:textId="068ECB1E" w:rsidR="009E1E6E" w:rsidRDefault="00AE1FEB" w:rsidP="009E1E6E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Mitnehmerklappe (für Fluchtweg-Doppelflügeltüren)</w:t>
      </w:r>
    </w:p>
    <w:p w14:paraId="2F12EB15" w14:textId="6710287B" w:rsidR="003C1F6E" w:rsidRPr="00E11A98" w:rsidRDefault="003C1F6E" w:rsidP="009E1E6E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Integrierter Schliessfolgeregler (für Brandschutz-Doppeltüren)</w:t>
      </w:r>
    </w:p>
    <w:p w14:paraId="27B0CBEF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48C4519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5443AF8A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Potentialfreie Ausgänge für Rückmeldungen an z.B. Ha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usleitsysteme über Relais-Print</w:t>
      </w:r>
    </w:p>
    <w:p w14:paraId="43B22AB5" w14:textId="0F4A3522" w:rsidR="00AE1FEB" w:rsidRDefault="00AE1FEB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Schleusenbetrieb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*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, Sonderfunktion programmierbar (z.B. </w:t>
      </w:r>
      <w:proofErr w:type="spellStart"/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Servo</w:t>
      </w:r>
      <w:proofErr w:type="spellEnd"/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* oder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bei Windfang).</w:t>
      </w:r>
    </w:p>
    <w:p w14:paraId="2CE51F7C" w14:textId="37046E76" w:rsidR="00A24743" w:rsidRDefault="00A24743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*bei 2-flügligen Türen nicht anwendbar</w:t>
      </w:r>
    </w:p>
    <w:p w14:paraId="251D38F9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D1F6C6A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Personenschutz</w:t>
      </w:r>
    </w:p>
    <w:p w14:paraId="698F150B" w14:textId="5B48E72D" w:rsidR="00AE1FEB" w:rsidRDefault="00AE1FEB" w:rsidP="00FB5736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Laser LZR-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Flatscan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, Absicherungssensor für automatische Drehflügeltüren.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Für die zuverlässige </w:t>
      </w:r>
      <w:r w:rsidR="00FB573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Überwachung der Öffnungs- und Schliessbewegung auch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an der Nebenschliesskante. Innen und aussen auf dem Türflügel montiert.</w:t>
      </w:r>
    </w:p>
    <w:p w14:paraId="31272EA0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7346B9E" w14:textId="77777777" w:rsidR="00AE1FEB" w:rsidRPr="00AE1FEB" w:rsidRDefault="00AE1FEB" w:rsidP="001D52F6">
      <w:pPr>
        <w:pStyle w:val="Textkrper"/>
        <w:tabs>
          <w:tab w:val="left" w:pos="426"/>
          <w:tab w:val="left" w:pos="1843"/>
        </w:tabs>
        <w:spacing w:before="60"/>
        <w:ind w:left="142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41116EC8" w14:textId="77777777" w:rsidR="00AE1FEB" w:rsidRPr="00AE1FEB" w:rsidRDefault="00AE1FEB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Standard:</w:t>
      </w:r>
    </w:p>
    <w:p w14:paraId="54D3B517" w14:textId="04F4F064" w:rsidR="00AE1FEB" w:rsidRDefault="00AE1FEB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Im Seitendeckel integrierter 3-Stellen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-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Programmwahlschalter</w:t>
      </w:r>
    </w:p>
    <w:p w14:paraId="58D7034E" w14:textId="77777777" w:rsidR="009D71ED" w:rsidRDefault="009D71ED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Brandschutz:</w:t>
      </w:r>
    </w:p>
    <w:p w14:paraId="4BA699E8" w14:textId="5819A600" w:rsidR="009D71ED" w:rsidRPr="00AE1FEB" w:rsidRDefault="009D71ED" w:rsidP="00FB5736">
      <w:pPr>
        <w:pStyle w:val="Textkrper"/>
        <w:tabs>
          <w:tab w:val="left" w:pos="426"/>
          <w:tab w:val="left" w:pos="1843"/>
        </w:tabs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Im Seitendeckel integrierter 3-Stellen</w:t>
      </w:r>
      <w:r w:rsidR="00A24743">
        <w:rPr>
          <w:rFonts w:asciiTheme="minorHAnsi" w:eastAsiaTheme="minorHAnsi" w:hAnsiTheme="minorHAnsi" w:cstheme="minorBidi"/>
          <w:sz w:val="22"/>
          <w:szCs w:val="22"/>
          <w:lang w:val="de-CH"/>
        </w:rPr>
        <w:t>-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Programmwahlschalter und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Resettaster</w:t>
      </w:r>
      <w:proofErr w:type="spellEnd"/>
    </w:p>
    <w:p w14:paraId="516B3990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98C32D0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328625D0" w14:textId="77777777" w:rsidR="00AE1FEB" w:rsidRPr="00AE1FEB" w:rsidRDefault="00AE1FEB" w:rsidP="00AE1FEB">
      <w:pPr>
        <w:pStyle w:val="Textkrper"/>
        <w:tabs>
          <w:tab w:val="left" w:pos="426"/>
          <w:tab w:val="left" w:pos="709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Fix montierter Tastenprogrammschalter D-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Zur einfachen Wahl der Türfunktion und zum Anzeigen von diversen Systeminformationen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ntage (bauseitige UP-Dose)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weiss)</w:t>
      </w:r>
    </w:p>
    <w:p w14:paraId="5F6564A4" w14:textId="260AE550" w:rsidR="00AE1FEB" w:rsidRDefault="00AE1FEB" w:rsidP="00AE1FEB">
      <w:pPr>
        <w:pStyle w:val="Textkrper"/>
        <w:tabs>
          <w:tab w:val="left" w:pos="426"/>
          <w:tab w:val="left" w:pos="709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KOMBI-D-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mit Schlüssel-Zylinder zum Sperren der gewählten Betriebsart</w:t>
      </w:r>
      <w:r w:rsidR="00B44D6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Tastenprogrammschalter mit beleuchtetem </w:t>
      </w:r>
      <w:proofErr w:type="gramStart"/>
      <w:r w:rsidR="00B44D68"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LCD-Display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die Wahl der Türfunktion,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zum Einstellen aller Türparameter und </w:t>
      </w:r>
      <w:r w:rsidR="00ED669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zum 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Ablesen der Betriebsdaten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UP-Montage, in Doppeldose (Tiefe 1 ½)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2fach, weiss)</w:t>
      </w:r>
    </w:p>
    <w:p w14:paraId="679186A8" w14:textId="53C2DCA6" w:rsidR="009D71ED" w:rsidRDefault="009D71ED" w:rsidP="00AE1FEB">
      <w:pPr>
        <w:pStyle w:val="Textkrper"/>
        <w:tabs>
          <w:tab w:val="left" w:pos="426"/>
          <w:tab w:val="left" w:pos="709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FB5736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Handauslöse und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Reset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-Taster (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Doppelwipptaster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), rot</w:t>
      </w:r>
      <w:r w:rsidR="00FB5736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rot. Für Montage in UP-Dose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54E7C38E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A460756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E1FE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4B944589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Radar, auf der Innenseite montiert, Bewegungsmelder für die zuverlässige Öffnung</w:t>
      </w:r>
    </w:p>
    <w:p w14:paraId="123C63B3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Radar, auf der Aussenseite montiert, Bewegungsmelder für die zuverlässige Öffnung</w:t>
      </w:r>
    </w:p>
    <w:p w14:paraId="31C99615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9D71ED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1D8F651E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2127004C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704339A0" w14:textId="77777777" w:rsidR="00AE1FEB" w:rsidRP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5E069D0B" w14:textId="77777777" w:rsidR="00AE1FEB" w:rsidRDefault="00AE1FEB" w:rsidP="00AE1FE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E1FE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sectPr w:rsidR="00AE1FEB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E7D6" w14:textId="77777777" w:rsidR="002B77ED" w:rsidRDefault="002B77ED" w:rsidP="00507D82">
      <w:pPr>
        <w:spacing w:after="0" w:line="240" w:lineRule="auto"/>
      </w:pPr>
      <w:r>
        <w:separator/>
      </w:r>
    </w:p>
  </w:endnote>
  <w:endnote w:type="continuationSeparator" w:id="0">
    <w:p w14:paraId="3207BA6B" w14:textId="77777777" w:rsidR="002B77ED" w:rsidRDefault="002B77ED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AB14" w14:textId="61464B39" w:rsidR="00EE1D0B" w:rsidRPr="00EE1D0B" w:rsidRDefault="00F61229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Lange-Automatiktüren GmbH</w:t>
    </w:r>
  </w:p>
  <w:p w14:paraId="6D3C1E17" w14:textId="787661D2" w:rsidR="00EE1D0B" w:rsidRPr="00EE1D0B" w:rsidRDefault="00F61229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2, 71711 Steinheim</w:t>
    </w:r>
  </w:p>
  <w:p w14:paraId="365B5410" w14:textId="22ED7430" w:rsidR="00EE1D0B" w:rsidRPr="00F61229" w:rsidRDefault="00EE1D0B" w:rsidP="00EE1D0B">
    <w:pPr>
      <w:spacing w:before="28" w:after="0" w:line="285" w:lineRule="auto"/>
      <w:ind w:left="142"/>
      <w:rPr>
        <w:color w:val="231F20"/>
        <w:sz w:val="13"/>
        <w:lang w:val="de-DE"/>
      </w:rPr>
    </w:pPr>
    <w:r w:rsidRPr="00F61229">
      <w:rPr>
        <w:color w:val="231F20"/>
        <w:sz w:val="13"/>
        <w:lang w:val="de-DE"/>
      </w:rPr>
      <w:t>www.</w:t>
    </w:r>
    <w:r w:rsidR="00F61229" w:rsidRPr="00F61229">
      <w:rPr>
        <w:color w:val="231F20"/>
        <w:sz w:val="13"/>
        <w:lang w:val="de-DE"/>
      </w:rPr>
      <w:t>lange-tuersysteme.</w:t>
    </w:r>
    <w:r w:rsidR="00F61229">
      <w:rPr>
        <w:color w:val="231F20"/>
        <w:sz w:val="13"/>
        <w:lang w:val="de-DE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9AD1" w14:textId="77777777" w:rsidR="002B77ED" w:rsidRDefault="002B77ED" w:rsidP="00507D82">
      <w:pPr>
        <w:spacing w:after="0" w:line="240" w:lineRule="auto"/>
      </w:pPr>
      <w:r>
        <w:separator/>
      </w:r>
    </w:p>
  </w:footnote>
  <w:footnote w:type="continuationSeparator" w:id="0">
    <w:p w14:paraId="210E40A9" w14:textId="77777777" w:rsidR="002B77ED" w:rsidRDefault="002B77ED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1564" w14:textId="77777777" w:rsidR="008740CE" w:rsidRPr="00667212" w:rsidRDefault="007C399C" w:rsidP="001F63DB">
    <w:pPr>
      <w:pStyle w:val="Kopfzeile"/>
      <w:ind w:left="142"/>
      <w:rPr>
        <w:b/>
      </w:rPr>
    </w:pPr>
    <w:r w:rsidRPr="00667212">
      <w:rPr>
        <w:b/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7882FA94" wp14:editId="0D12CD0C">
          <wp:simplePos x="0" y="0"/>
          <wp:positionH relativeFrom="margin">
            <wp:posOffset>5089524</wp:posOffset>
          </wp:positionH>
          <wp:positionV relativeFrom="paragraph">
            <wp:posOffset>-457201</wp:posOffset>
          </wp:positionV>
          <wp:extent cx="1228725" cy="1228725"/>
          <wp:effectExtent l="0" t="0" r="9525" b="9525"/>
          <wp:wrapNone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Grafik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.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33pt;height:17pt;visibility:visible;mso-wrap-style:square" o:bullet="t">
        <v:imagedata r:id="rId3" o:title=""/>
      </v:shape>
    </w:pict>
  </w:numPicBullet>
  <w:numPicBullet w:numPicBulletId="3">
    <w:pict>
      <v:shape id="_x0000_i1029" type="#_x0000_t75" style="width:13.5pt;height:16.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423379664">
    <w:abstractNumId w:val="3"/>
  </w:num>
  <w:num w:numId="2" w16cid:durableId="1487744619">
    <w:abstractNumId w:val="1"/>
  </w:num>
  <w:num w:numId="3" w16cid:durableId="771512506">
    <w:abstractNumId w:val="0"/>
  </w:num>
  <w:num w:numId="4" w16cid:durableId="129440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de-CH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1782"/>
    <w:rsid w:val="0000296E"/>
    <w:rsid w:val="00024DDF"/>
    <w:rsid w:val="000263C7"/>
    <w:rsid w:val="000338EA"/>
    <w:rsid w:val="00041462"/>
    <w:rsid w:val="0004302F"/>
    <w:rsid w:val="0005636C"/>
    <w:rsid w:val="00063360"/>
    <w:rsid w:val="00084362"/>
    <w:rsid w:val="00086757"/>
    <w:rsid w:val="000879BD"/>
    <w:rsid w:val="0009012A"/>
    <w:rsid w:val="000916B1"/>
    <w:rsid w:val="000941E7"/>
    <w:rsid w:val="00097951"/>
    <w:rsid w:val="001079E4"/>
    <w:rsid w:val="00107F29"/>
    <w:rsid w:val="00115FF3"/>
    <w:rsid w:val="00122E2A"/>
    <w:rsid w:val="0012750E"/>
    <w:rsid w:val="00152CD1"/>
    <w:rsid w:val="00177E8D"/>
    <w:rsid w:val="00193455"/>
    <w:rsid w:val="001951B4"/>
    <w:rsid w:val="001C51F8"/>
    <w:rsid w:val="001C6BF1"/>
    <w:rsid w:val="001D52F6"/>
    <w:rsid w:val="001E01D7"/>
    <w:rsid w:val="001E2E10"/>
    <w:rsid w:val="001E6526"/>
    <w:rsid w:val="001F63DB"/>
    <w:rsid w:val="002269A6"/>
    <w:rsid w:val="002468CF"/>
    <w:rsid w:val="00247055"/>
    <w:rsid w:val="0025299A"/>
    <w:rsid w:val="002B77ED"/>
    <w:rsid w:val="003006AF"/>
    <w:rsid w:val="003245CB"/>
    <w:rsid w:val="00337B92"/>
    <w:rsid w:val="003767B9"/>
    <w:rsid w:val="003836CE"/>
    <w:rsid w:val="00386881"/>
    <w:rsid w:val="0039050F"/>
    <w:rsid w:val="003924DE"/>
    <w:rsid w:val="003A6BE4"/>
    <w:rsid w:val="003C1C65"/>
    <w:rsid w:val="003C1F6E"/>
    <w:rsid w:val="003C2755"/>
    <w:rsid w:val="003D2F30"/>
    <w:rsid w:val="003E27F5"/>
    <w:rsid w:val="003E5B92"/>
    <w:rsid w:val="003F076A"/>
    <w:rsid w:val="00416973"/>
    <w:rsid w:val="00444997"/>
    <w:rsid w:val="0045704B"/>
    <w:rsid w:val="00465251"/>
    <w:rsid w:val="004672F8"/>
    <w:rsid w:val="00472409"/>
    <w:rsid w:val="0047775A"/>
    <w:rsid w:val="004852AE"/>
    <w:rsid w:val="004A5119"/>
    <w:rsid w:val="004B7D83"/>
    <w:rsid w:val="004C2CF1"/>
    <w:rsid w:val="004E5514"/>
    <w:rsid w:val="004F5760"/>
    <w:rsid w:val="0050198B"/>
    <w:rsid w:val="00507D82"/>
    <w:rsid w:val="005301D0"/>
    <w:rsid w:val="00546366"/>
    <w:rsid w:val="00546D89"/>
    <w:rsid w:val="00552E42"/>
    <w:rsid w:val="005852AB"/>
    <w:rsid w:val="00591C86"/>
    <w:rsid w:val="005C3181"/>
    <w:rsid w:val="005C552B"/>
    <w:rsid w:val="005D11C2"/>
    <w:rsid w:val="005F3527"/>
    <w:rsid w:val="00616D69"/>
    <w:rsid w:val="00642082"/>
    <w:rsid w:val="00647CE5"/>
    <w:rsid w:val="00650B65"/>
    <w:rsid w:val="00663643"/>
    <w:rsid w:val="00667212"/>
    <w:rsid w:val="00667512"/>
    <w:rsid w:val="006714AC"/>
    <w:rsid w:val="0069122E"/>
    <w:rsid w:val="006970B7"/>
    <w:rsid w:val="006C3A74"/>
    <w:rsid w:val="006C6D31"/>
    <w:rsid w:val="006D57D5"/>
    <w:rsid w:val="006E2229"/>
    <w:rsid w:val="006E22D0"/>
    <w:rsid w:val="006F32B8"/>
    <w:rsid w:val="006F3D69"/>
    <w:rsid w:val="007006E9"/>
    <w:rsid w:val="00737D72"/>
    <w:rsid w:val="00751835"/>
    <w:rsid w:val="00777088"/>
    <w:rsid w:val="00782538"/>
    <w:rsid w:val="007A45D1"/>
    <w:rsid w:val="007C399C"/>
    <w:rsid w:val="007C7537"/>
    <w:rsid w:val="007D1E16"/>
    <w:rsid w:val="0080505D"/>
    <w:rsid w:val="008538CC"/>
    <w:rsid w:val="008548FC"/>
    <w:rsid w:val="0086439D"/>
    <w:rsid w:val="008740CE"/>
    <w:rsid w:val="00877885"/>
    <w:rsid w:val="008961F5"/>
    <w:rsid w:val="008A13B6"/>
    <w:rsid w:val="008C2F72"/>
    <w:rsid w:val="008F518D"/>
    <w:rsid w:val="009311E1"/>
    <w:rsid w:val="0094451F"/>
    <w:rsid w:val="00945D2C"/>
    <w:rsid w:val="009577C2"/>
    <w:rsid w:val="00961EB3"/>
    <w:rsid w:val="00970956"/>
    <w:rsid w:val="009869AE"/>
    <w:rsid w:val="00996C92"/>
    <w:rsid w:val="009A6C8E"/>
    <w:rsid w:val="009D71ED"/>
    <w:rsid w:val="009E1E6E"/>
    <w:rsid w:val="009E3370"/>
    <w:rsid w:val="009E4D1B"/>
    <w:rsid w:val="00A0561C"/>
    <w:rsid w:val="00A164CD"/>
    <w:rsid w:val="00A24743"/>
    <w:rsid w:val="00A353CE"/>
    <w:rsid w:val="00A640A5"/>
    <w:rsid w:val="00A70E4C"/>
    <w:rsid w:val="00A71CCC"/>
    <w:rsid w:val="00A72B68"/>
    <w:rsid w:val="00A7314C"/>
    <w:rsid w:val="00A9511F"/>
    <w:rsid w:val="00AB06EC"/>
    <w:rsid w:val="00AB4E98"/>
    <w:rsid w:val="00AB7983"/>
    <w:rsid w:val="00AC686B"/>
    <w:rsid w:val="00AD0E4C"/>
    <w:rsid w:val="00AE1FEB"/>
    <w:rsid w:val="00AF6773"/>
    <w:rsid w:val="00B018E6"/>
    <w:rsid w:val="00B11C1B"/>
    <w:rsid w:val="00B14B10"/>
    <w:rsid w:val="00B1646E"/>
    <w:rsid w:val="00B1701F"/>
    <w:rsid w:val="00B44D68"/>
    <w:rsid w:val="00B602E6"/>
    <w:rsid w:val="00B80158"/>
    <w:rsid w:val="00BA211A"/>
    <w:rsid w:val="00BA4206"/>
    <w:rsid w:val="00BA4A17"/>
    <w:rsid w:val="00BC2977"/>
    <w:rsid w:val="00BD1FCD"/>
    <w:rsid w:val="00BD7123"/>
    <w:rsid w:val="00BE0897"/>
    <w:rsid w:val="00BE4DBB"/>
    <w:rsid w:val="00BE6CFF"/>
    <w:rsid w:val="00C33FC3"/>
    <w:rsid w:val="00C77BEA"/>
    <w:rsid w:val="00C96964"/>
    <w:rsid w:val="00CB164A"/>
    <w:rsid w:val="00CB3144"/>
    <w:rsid w:val="00CC2E20"/>
    <w:rsid w:val="00CE1D3E"/>
    <w:rsid w:val="00D24A3B"/>
    <w:rsid w:val="00D27FF5"/>
    <w:rsid w:val="00D46770"/>
    <w:rsid w:val="00D62A58"/>
    <w:rsid w:val="00D72C66"/>
    <w:rsid w:val="00D74E63"/>
    <w:rsid w:val="00D77B4D"/>
    <w:rsid w:val="00D95969"/>
    <w:rsid w:val="00DA50F9"/>
    <w:rsid w:val="00DA60FE"/>
    <w:rsid w:val="00DB2794"/>
    <w:rsid w:val="00DD6BA1"/>
    <w:rsid w:val="00DD6F39"/>
    <w:rsid w:val="00DE0DC8"/>
    <w:rsid w:val="00DE57A1"/>
    <w:rsid w:val="00DF5146"/>
    <w:rsid w:val="00DF76C6"/>
    <w:rsid w:val="00E06CBA"/>
    <w:rsid w:val="00E137A2"/>
    <w:rsid w:val="00E159AD"/>
    <w:rsid w:val="00E5227B"/>
    <w:rsid w:val="00E6591F"/>
    <w:rsid w:val="00E71F72"/>
    <w:rsid w:val="00E85530"/>
    <w:rsid w:val="00EB3111"/>
    <w:rsid w:val="00EB3DC1"/>
    <w:rsid w:val="00ED0FCD"/>
    <w:rsid w:val="00ED6699"/>
    <w:rsid w:val="00EE1D0B"/>
    <w:rsid w:val="00EF2F51"/>
    <w:rsid w:val="00F17C0D"/>
    <w:rsid w:val="00F26DE9"/>
    <w:rsid w:val="00F61229"/>
    <w:rsid w:val="00F662B9"/>
    <w:rsid w:val="00F83763"/>
    <w:rsid w:val="00F846E4"/>
    <w:rsid w:val="00FA4848"/>
    <w:rsid w:val="00FB2FE3"/>
    <w:rsid w:val="00FB5736"/>
    <w:rsid w:val="00FC1383"/>
    <w:rsid w:val="00FC3299"/>
    <w:rsid w:val="00FC7AC3"/>
    <w:rsid w:val="00FE6E40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1B6AD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B47E-E07D-4FE5-96C3-551F1F0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3</cp:revision>
  <cp:lastPrinted>2020-07-30T07:11:00Z</cp:lastPrinted>
  <dcterms:created xsi:type="dcterms:W3CDTF">2024-05-11T13:49:00Z</dcterms:created>
  <dcterms:modified xsi:type="dcterms:W3CDTF">2024-05-11T14:26:00Z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