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1EB7" w14:textId="77777777" w:rsidR="00E137A2" w:rsidRPr="00E137A2" w:rsidRDefault="00E137A2" w:rsidP="00E11A98">
      <w:pPr>
        <w:tabs>
          <w:tab w:val="left" w:pos="284"/>
          <w:tab w:val="left" w:pos="1701"/>
        </w:tabs>
        <w:spacing w:after="0" w:line="240" w:lineRule="auto"/>
      </w:pPr>
    </w:p>
    <w:p w14:paraId="7D894D96" w14:textId="77777777" w:rsidR="00E137A2" w:rsidRPr="00E137A2" w:rsidRDefault="00E137A2" w:rsidP="00E11A98">
      <w:pPr>
        <w:tabs>
          <w:tab w:val="left" w:pos="284"/>
          <w:tab w:val="left" w:pos="1701"/>
        </w:tabs>
        <w:spacing w:after="0" w:line="240" w:lineRule="auto"/>
      </w:pPr>
    </w:p>
    <w:p w14:paraId="17725E1E" w14:textId="77777777" w:rsidR="00E11A98" w:rsidRPr="00E11A98" w:rsidRDefault="00E11A98" w:rsidP="00E11A98">
      <w:pPr>
        <w:tabs>
          <w:tab w:val="left" w:pos="284"/>
          <w:tab w:val="left" w:pos="1701"/>
        </w:tabs>
        <w:spacing w:after="0" w:line="240" w:lineRule="auto"/>
        <w:rPr>
          <w:b/>
          <w:sz w:val="32"/>
          <w:szCs w:val="32"/>
          <w:lang w:val="de-CH"/>
        </w:rPr>
      </w:pPr>
      <w:r w:rsidRPr="00E11A98">
        <w:rPr>
          <w:b/>
          <w:sz w:val="32"/>
          <w:szCs w:val="32"/>
          <w:lang w:val="de-CH"/>
        </w:rPr>
        <w:t>Ausschreibungstext</w:t>
      </w:r>
    </w:p>
    <w:p w14:paraId="19916AA9" w14:textId="26195206" w:rsidR="00E11A98" w:rsidRPr="00E11A98" w:rsidRDefault="00E11A98" w:rsidP="00E11A98">
      <w:pPr>
        <w:tabs>
          <w:tab w:val="left" w:pos="284"/>
          <w:tab w:val="left" w:pos="1701"/>
        </w:tabs>
        <w:spacing w:after="0" w:line="240" w:lineRule="auto"/>
        <w:rPr>
          <w:b/>
          <w:sz w:val="32"/>
          <w:szCs w:val="32"/>
          <w:lang w:val="de-CH"/>
        </w:rPr>
      </w:pPr>
      <w:r w:rsidRPr="00E11A98">
        <w:rPr>
          <w:b/>
          <w:sz w:val="32"/>
          <w:szCs w:val="32"/>
          <w:lang w:val="de-CH"/>
        </w:rPr>
        <w:t>Drehflügeltürantriebe FD 20, FD 20-F und FD 20-Invers</w:t>
      </w:r>
    </w:p>
    <w:p w14:paraId="7AB58CFD" w14:textId="77777777" w:rsidR="00737D72" w:rsidRPr="00E137A2" w:rsidRDefault="00737D72" w:rsidP="00E11A98">
      <w:pPr>
        <w:tabs>
          <w:tab w:val="left" w:pos="284"/>
          <w:tab w:val="left" w:pos="1701"/>
        </w:tabs>
        <w:spacing w:after="0" w:line="240" w:lineRule="auto"/>
        <w:rPr>
          <w:lang w:val="de-CH"/>
        </w:rPr>
      </w:pPr>
    </w:p>
    <w:p w14:paraId="21EEBD93" w14:textId="77777777" w:rsidR="00647CE5" w:rsidRDefault="00647CE5" w:rsidP="00E11A98">
      <w:pPr>
        <w:tabs>
          <w:tab w:val="left" w:pos="284"/>
          <w:tab w:val="left" w:pos="1701"/>
        </w:tabs>
        <w:spacing w:after="0" w:line="240" w:lineRule="auto"/>
        <w:rPr>
          <w:lang w:val="de-CH"/>
        </w:rPr>
      </w:pPr>
    </w:p>
    <w:p w14:paraId="5EEB6706" w14:textId="77777777" w:rsidR="00C96E2C" w:rsidRPr="00E137A2" w:rsidRDefault="00C96E2C" w:rsidP="00E11A98">
      <w:pPr>
        <w:tabs>
          <w:tab w:val="left" w:pos="284"/>
          <w:tab w:val="left" w:pos="1701"/>
        </w:tabs>
        <w:spacing w:after="0" w:line="240" w:lineRule="auto"/>
        <w:rPr>
          <w:lang w:val="de-CH"/>
        </w:rPr>
      </w:pPr>
    </w:p>
    <w:p w14:paraId="07DC3AFB" w14:textId="346C73B1" w:rsidR="000F1061" w:rsidRPr="00E11A98" w:rsidRDefault="000F1061" w:rsidP="000F1061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Drehflügeltürantriebe FD 20 (Standard), FD 20-F (Brandschutz) und FD 20-Invers (Entrauchung)</w:t>
      </w:r>
    </w:p>
    <w:p w14:paraId="26CF74F2" w14:textId="3F9F1A0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Drehflügeltür-Antriebe FD 20, TÜV geprü</w:t>
      </w:r>
      <w:r w:rsidR="000A643C">
        <w:rPr>
          <w:rFonts w:asciiTheme="minorHAnsi" w:eastAsiaTheme="minorHAnsi" w:hAnsiTheme="minorHAnsi" w:cstheme="minorBidi"/>
          <w:sz w:val="22"/>
          <w:szCs w:val="22"/>
          <w:lang w:val="de-CH"/>
        </w:rPr>
        <w:t>ft nach EN 16005 und DIN 18650.</w:t>
      </w:r>
      <w:r w:rsidR="00C96E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Die Antriebe sind konsequent auf Leistung, Langlebigkeit und einen sehr leisen</w:t>
      </w:r>
      <w:r w:rsidR="00C96E2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Lauf ausgelegt. Auch für schwere Aussentüren mit hohen Windbelastungen geeignet.</w:t>
      </w:r>
    </w:p>
    <w:p w14:paraId="7FC61F8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EB3B5E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FD 20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Standard</w:t>
      </w:r>
    </w:p>
    <w:p w14:paraId="7F55A273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FD 20-F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Brandschutz (mit DIBt-Zulassung)</w:t>
      </w:r>
    </w:p>
    <w:p w14:paraId="1345FFA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FD 20-Invers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Entrauchung (stromlos öffnen)</w:t>
      </w:r>
    </w:p>
    <w:p w14:paraId="7F6D767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566BA6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Antriebskomponenten und Steuerung in formschöner Verschalung.</w:t>
      </w:r>
      <w:r w:rsidR="00792C0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Full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-Energy-Antrieb mit integrierter/konfigurierbarer Low-Energy-Funktion</w:t>
      </w:r>
      <w:r w:rsidR="00792C0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(für den Betrieb ohne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Sicherheitssensorik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). Einfache, über das integrierte</w:t>
      </w:r>
      <w:r w:rsidR="00792C0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Grafik-Display geführte, Inbetriebnahme und Bedienung.</w:t>
      </w:r>
      <w:r w:rsidR="00792C0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Beleuchtete Programmwahltasten (inkl. Handauslösung und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Resettaster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)</w:t>
      </w:r>
      <w:r w:rsidR="00792C0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im Seitendeckel integriert. Anschlussklemmen für Bedienungs- und</w:t>
      </w:r>
      <w:r w:rsidR="00792C0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Sicherheitselemente sowie E-Öffner und Motorenschlösser.</w:t>
      </w:r>
    </w:p>
    <w:p w14:paraId="7109CEF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055D9DC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 und Verschalung</w:t>
      </w:r>
    </w:p>
    <w:p w14:paraId="189397C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Abmessungen: 95 mm x 120 mm x 690 mm (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HxTxB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)</w:t>
      </w:r>
    </w:p>
    <w:p w14:paraId="71327260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Verschalung Aluminium E6/EV1, farblos eloxiert</w:t>
      </w:r>
    </w:p>
    <w:p w14:paraId="375AB8D9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Verschalung in Chromstahl geschliffen</w:t>
      </w:r>
    </w:p>
    <w:p w14:paraId="2E722CEF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Durchgehende Verschalung Aluminium E6/EV1, farblos eloxiert</w:t>
      </w:r>
      <w:r w:rsidR="00CE653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(für Doppelflügeltüren)</w:t>
      </w:r>
    </w:p>
    <w:p w14:paraId="6D3286F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Durchgehende Verschalung in Chromstahl geschliffen</w:t>
      </w:r>
      <w:r w:rsidR="00CE653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(für Doppelflügeltüren)</w:t>
      </w:r>
    </w:p>
    <w:p w14:paraId="4670B02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C21F2AC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Ausführungsmöglichkeiten</w:t>
      </w:r>
    </w:p>
    <w:p w14:paraId="6D67A705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</w:t>
      </w:r>
    </w:p>
    <w:p w14:paraId="3C7F5271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(Doppelflügeltür)</w:t>
      </w:r>
    </w:p>
    <w:p w14:paraId="7B8A9AFB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Fluchtwegfunktion</w:t>
      </w:r>
    </w:p>
    <w:p w14:paraId="0F687889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Brandschutzfunktion</w:t>
      </w:r>
    </w:p>
    <w:p w14:paraId="35E4E23B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Fluchtweg- und Brandschutzfunktion</w:t>
      </w:r>
    </w:p>
    <w:p w14:paraId="28C7CFB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Entrauchungsfunktion (Invers)</w:t>
      </w:r>
    </w:p>
    <w:p w14:paraId="1477A679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Fluchtweg- und Entrauchungsfunktion (Invers)</w:t>
      </w:r>
    </w:p>
    <w:p w14:paraId="4D3A3C6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E2B5FEE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Einbau- und </w:t>
      </w:r>
      <w:proofErr w:type="spellStart"/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Gestängevarianten</w:t>
      </w:r>
      <w:proofErr w:type="spellEnd"/>
    </w:p>
    <w:p w14:paraId="710C0F9D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Sturzmontage mit Gleitgestänge drückend</w:t>
      </w:r>
    </w:p>
    <w:p w14:paraId="76BFF849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Sturzmontage mit Gleitgestänge ziehend</w:t>
      </w:r>
    </w:p>
    <w:p w14:paraId="3DA50B45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Sturzmontage mit Normalgestänge drückend (beste Kraftumsetzung)</w:t>
      </w:r>
    </w:p>
    <w:p w14:paraId="7FAE2E8E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Flügelmontage mit Gleitgestänge drückend (bei geringer Sturzhöhe)</w:t>
      </w:r>
    </w:p>
    <w:p w14:paraId="583CEB48" w14:textId="77777777" w:rsidR="00E11A98" w:rsidRDefault="00E11A98">
      <w:pPr>
        <w:rPr>
          <w:lang w:val="de-CH"/>
        </w:rPr>
      </w:pPr>
      <w:r>
        <w:rPr>
          <w:lang w:val="de-CH"/>
        </w:rPr>
        <w:br w:type="page"/>
      </w:r>
    </w:p>
    <w:p w14:paraId="341B0000" w14:textId="77777777" w:rsid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ADBC77C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C809E7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Zubehör und Funktionserweiterungen</w:t>
      </w:r>
    </w:p>
    <w:p w14:paraId="5D4BFA78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Integrierter Rauchmelder (im Antriebsgehäuse)</w:t>
      </w:r>
    </w:p>
    <w:p w14:paraId="46D4B31F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Integrierter Schliessfolgeregler (für Brandschutz-Doppelflügeltüren)</w:t>
      </w:r>
    </w:p>
    <w:p w14:paraId="68E88AD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Mitnehmerklappe (für Fluchtweg-Doppelflügeltüren)</w:t>
      </w:r>
    </w:p>
    <w:p w14:paraId="3C227CF8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2211867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1AB1E6E3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Potentialfreie Ausgänge für Rückmeldungen an z.B. Hausleitsysteme über Relais-Print </w:t>
      </w:r>
    </w:p>
    <w:p w14:paraId="35F3402C" w14:textId="55B65862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Funk-Print und Handsender GFU</w:t>
      </w:r>
    </w:p>
    <w:p w14:paraId="4FF1AA2E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Schleusenbetrieb, Sonderfunktion programmierbar (z.B. bei Windfang). </w:t>
      </w:r>
    </w:p>
    <w:p w14:paraId="051A8A85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640C1B1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Personenschutz</w:t>
      </w:r>
    </w:p>
    <w:p w14:paraId="5D53980A" w14:textId="77777777" w:rsidR="00E11A98" w:rsidRPr="00E11A98" w:rsidRDefault="00E11A98" w:rsidP="00A978E8">
      <w:pPr>
        <w:pStyle w:val="Textkrper"/>
        <w:tabs>
          <w:tab w:val="left" w:pos="284"/>
          <w:tab w:val="left" w:pos="1701"/>
          <w:tab w:val="left" w:pos="1843"/>
        </w:tabs>
        <w:ind w:left="284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Laser LZR-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Flatscan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, Absicherungssensor für automatische Drehflügeltüren.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Für die zuverlässige Überwachung der Öffnungs- und Schliessbewegung auch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an der Nebenschliesskante. Innen und aussen auf dem Türflügel montiert.</w:t>
      </w:r>
    </w:p>
    <w:p w14:paraId="6AFC915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65FE0E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57434618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Standard:</w:t>
      </w:r>
    </w:p>
    <w:p w14:paraId="4AE4FAA2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Beleuchtete Programmwahltasten (inkl. Handauslösung und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Resettaster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)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im Seitendeckel integriert</w:t>
      </w:r>
    </w:p>
    <w:p w14:paraId="4D6FF29D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ABB621A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61AF5CF4" w14:textId="77777777" w:rsidR="00E11A98" w:rsidRPr="00E11A98" w:rsidRDefault="00E11A98" w:rsidP="00A978E8">
      <w:pPr>
        <w:pStyle w:val="Textkrper"/>
        <w:tabs>
          <w:tab w:val="left" w:pos="284"/>
          <w:tab w:val="left" w:pos="567"/>
          <w:tab w:val="left" w:pos="1843"/>
        </w:tabs>
        <w:ind w:left="284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Fix montierter Tastenprogrammschalter D-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Zur einfachen Wahl der Türfunktion und zum Anzeigen von diversen Systeminformationen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UP-Montage (bauseitige UP-Dose)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AP-Montage (mit AP-Kunststoffrahmen, weiss)</w:t>
      </w:r>
    </w:p>
    <w:p w14:paraId="1F8DF0DB" w14:textId="77777777" w:rsidR="00E11A98" w:rsidRPr="00E11A98" w:rsidRDefault="00E11A98" w:rsidP="00A978E8">
      <w:pPr>
        <w:pStyle w:val="Textkrper"/>
        <w:tabs>
          <w:tab w:val="left" w:pos="284"/>
          <w:tab w:val="left" w:pos="567"/>
          <w:tab w:val="left" w:pos="1843"/>
        </w:tabs>
        <w:ind w:left="284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KOMBI-D-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mit Schlüssel-Zylinder zum Sperren der gewählten Betriebsart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Tastenprogrammschalter mit beleuchtetem LCD Display für die Wahl der Türfunktion,</w:t>
      </w:r>
      <w:r w:rsidR="004343DC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aller Türparameter und Ablesen der Betriebsdaten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UP-Montage, in Doppeldose (Tiefe 1 ½)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AP-Montage (mit AP-Kunststoffrahmen, 2fach, weiss</w:t>
      </w:r>
    </w:p>
    <w:p w14:paraId="235DD0D6" w14:textId="77777777" w:rsidR="00E11A98" w:rsidRPr="00E11A98" w:rsidRDefault="00E11A98" w:rsidP="00A978E8">
      <w:pPr>
        <w:pStyle w:val="Textkrper"/>
        <w:tabs>
          <w:tab w:val="left" w:pos="284"/>
          <w:tab w:val="left" w:pos="567"/>
          <w:tab w:val="left" w:pos="1843"/>
        </w:tabs>
        <w:ind w:left="284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Handauslöse- und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Reset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-Taster (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Doppelwipptaster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), rot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rot. Für Montage in UP-Dose</w:t>
      </w:r>
      <w:r w:rsidR="00A978E8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61215BF6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7D1CB60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E11A98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26740801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Radar, auf der Innenseite montiert, Bewegungsmelder für die zuverlässige Öffnung</w:t>
      </w:r>
    </w:p>
    <w:p w14:paraId="4C63D7F1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Radar, auf der Aussenseite montiert, Bewegungsmelder für die zuverlässige Öffnung</w:t>
      </w:r>
    </w:p>
    <w:p w14:paraId="2D6020A1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3F5F95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optimale hygienische Verhältnisse</w:t>
      </w:r>
    </w:p>
    <w:p w14:paraId="5BD07F6D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68B5689D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127B3E15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1D096673" w14:textId="77777777" w:rsidR="00E11A98" w:rsidRPr="00E11A98" w:rsidRDefault="00E11A98" w:rsidP="00E11A98">
      <w:pPr>
        <w:pStyle w:val="Textkrper"/>
        <w:tabs>
          <w:tab w:val="left" w:pos="284"/>
          <w:tab w:val="left" w:pos="1701"/>
          <w:tab w:val="left" w:pos="1843"/>
        </w:tabs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E11A98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sectPr w:rsidR="00E11A98" w:rsidRPr="00E11A98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71D5" w14:textId="77777777" w:rsidR="002B77ED" w:rsidRDefault="002B77ED" w:rsidP="00507D82">
      <w:pPr>
        <w:spacing w:after="0" w:line="240" w:lineRule="auto"/>
      </w:pPr>
      <w:r>
        <w:separator/>
      </w:r>
    </w:p>
  </w:endnote>
  <w:endnote w:type="continuationSeparator" w:id="0">
    <w:p w14:paraId="3C8E8216" w14:textId="77777777" w:rsidR="002B77ED" w:rsidRDefault="002B77ED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12D2" w14:textId="2263C456" w:rsidR="00EE1D0B" w:rsidRPr="00EE1D0B" w:rsidRDefault="00692447" w:rsidP="00DB740D">
    <w:pPr>
      <w:spacing w:before="20" w:after="0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Lange-Automatiktüren GmbH</w:t>
    </w:r>
  </w:p>
  <w:p w14:paraId="10C3CA73" w14:textId="557E50AE" w:rsidR="00EE1D0B" w:rsidRPr="00EE1D0B" w:rsidRDefault="00692447" w:rsidP="00DB740D">
    <w:pPr>
      <w:spacing w:before="29" w:after="0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2, 71711 Steinheim</w:t>
    </w:r>
  </w:p>
  <w:p w14:paraId="423A652F" w14:textId="3F07B78C" w:rsidR="00EE1D0B" w:rsidRPr="00692447" w:rsidRDefault="00EE1D0B" w:rsidP="00DB740D">
    <w:pPr>
      <w:spacing w:before="28" w:after="0" w:line="285" w:lineRule="auto"/>
      <w:rPr>
        <w:color w:val="231F20"/>
        <w:sz w:val="13"/>
        <w:lang w:val="de-DE"/>
      </w:rPr>
    </w:pPr>
    <w:r w:rsidRPr="00692447">
      <w:rPr>
        <w:color w:val="231F20"/>
        <w:sz w:val="13"/>
        <w:lang w:val="de-DE"/>
      </w:rPr>
      <w:t>www.</w:t>
    </w:r>
    <w:r w:rsidR="00692447" w:rsidRPr="00692447">
      <w:rPr>
        <w:color w:val="231F20"/>
        <w:sz w:val="13"/>
        <w:lang w:val="de-DE"/>
      </w:rPr>
      <w:t>lange-tuersysteme</w:t>
    </w:r>
    <w:r w:rsidRPr="00692447">
      <w:rPr>
        <w:color w:val="231F20"/>
        <w:sz w:val="13"/>
        <w:lang w:val="de-DE"/>
      </w:rPr>
      <w:t>.</w:t>
    </w:r>
    <w:r w:rsidR="00692447">
      <w:rPr>
        <w:color w:val="231F20"/>
        <w:sz w:val="13"/>
        <w:lang w:val="de-DE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13CF" w14:textId="77777777" w:rsidR="002B77ED" w:rsidRDefault="002B77ED" w:rsidP="00507D82">
      <w:pPr>
        <w:spacing w:after="0" w:line="240" w:lineRule="auto"/>
      </w:pPr>
      <w:r>
        <w:separator/>
      </w:r>
    </w:p>
  </w:footnote>
  <w:footnote w:type="continuationSeparator" w:id="0">
    <w:p w14:paraId="2420E300" w14:textId="77777777" w:rsidR="002B77ED" w:rsidRDefault="002B77ED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8459" w14:textId="77777777" w:rsidR="008740CE" w:rsidRPr="00667212" w:rsidRDefault="007C399C" w:rsidP="001F63DB">
    <w:pPr>
      <w:pStyle w:val="Kopfzeile"/>
      <w:ind w:left="142"/>
      <w:rPr>
        <w:b/>
      </w:rPr>
    </w:pPr>
    <w:r w:rsidRPr="00667212">
      <w:rPr>
        <w:b/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38695C79" wp14:editId="10077B8D">
          <wp:simplePos x="0" y="0"/>
          <wp:positionH relativeFrom="margin">
            <wp:posOffset>5245100</wp:posOffset>
          </wp:positionH>
          <wp:positionV relativeFrom="paragraph">
            <wp:posOffset>-431800</wp:posOffset>
          </wp:positionV>
          <wp:extent cx="1085850" cy="1085850"/>
          <wp:effectExtent l="0" t="0" r="0" b="0"/>
          <wp:wrapNone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Grafik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00" cy="10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4.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34pt;height:16.5pt;visibility:visible;mso-wrap-style:square" o:bullet="t">
        <v:imagedata r:id="rId3" o:title=""/>
      </v:shape>
    </w:pict>
  </w:numPicBullet>
  <w:numPicBullet w:numPicBulletId="3">
    <w:pict>
      <v:shape id="_x0000_i1029" type="#_x0000_t75" style="width:13.5pt;height:16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1311865390">
    <w:abstractNumId w:val="3"/>
  </w:num>
  <w:num w:numId="2" w16cid:durableId="964119708">
    <w:abstractNumId w:val="1"/>
  </w:num>
  <w:num w:numId="3" w16cid:durableId="426341823">
    <w:abstractNumId w:val="0"/>
  </w:num>
  <w:num w:numId="4" w16cid:durableId="172898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296E"/>
    <w:rsid w:val="000263C7"/>
    <w:rsid w:val="00041462"/>
    <w:rsid w:val="0004302F"/>
    <w:rsid w:val="0005636C"/>
    <w:rsid w:val="00063360"/>
    <w:rsid w:val="00084362"/>
    <w:rsid w:val="00086757"/>
    <w:rsid w:val="000879BD"/>
    <w:rsid w:val="0009012A"/>
    <w:rsid w:val="000916B1"/>
    <w:rsid w:val="000941E7"/>
    <w:rsid w:val="000A643C"/>
    <w:rsid w:val="000F1061"/>
    <w:rsid w:val="001079E4"/>
    <w:rsid w:val="00107F29"/>
    <w:rsid w:val="00115FF3"/>
    <w:rsid w:val="0012750E"/>
    <w:rsid w:val="00152CD1"/>
    <w:rsid w:val="00177E8D"/>
    <w:rsid w:val="001951B4"/>
    <w:rsid w:val="001C51F8"/>
    <w:rsid w:val="001C6BF1"/>
    <w:rsid w:val="001E01D7"/>
    <w:rsid w:val="001E2E10"/>
    <w:rsid w:val="001F63DB"/>
    <w:rsid w:val="002269A6"/>
    <w:rsid w:val="00247055"/>
    <w:rsid w:val="0025299A"/>
    <w:rsid w:val="002B77ED"/>
    <w:rsid w:val="003006AF"/>
    <w:rsid w:val="003245CB"/>
    <w:rsid w:val="00337B92"/>
    <w:rsid w:val="003767B9"/>
    <w:rsid w:val="003836CE"/>
    <w:rsid w:val="00386881"/>
    <w:rsid w:val="0039050F"/>
    <w:rsid w:val="003924DE"/>
    <w:rsid w:val="003A6BE4"/>
    <w:rsid w:val="003C1C65"/>
    <w:rsid w:val="003C2755"/>
    <w:rsid w:val="003D2F30"/>
    <w:rsid w:val="003E27F5"/>
    <w:rsid w:val="003E5B92"/>
    <w:rsid w:val="003F076A"/>
    <w:rsid w:val="003F5F95"/>
    <w:rsid w:val="00416973"/>
    <w:rsid w:val="004343DC"/>
    <w:rsid w:val="00444997"/>
    <w:rsid w:val="00465251"/>
    <w:rsid w:val="004672F8"/>
    <w:rsid w:val="00472409"/>
    <w:rsid w:val="0047775A"/>
    <w:rsid w:val="004852AE"/>
    <w:rsid w:val="004A0B37"/>
    <w:rsid w:val="004C2CF1"/>
    <w:rsid w:val="004E5514"/>
    <w:rsid w:val="0050198B"/>
    <w:rsid w:val="00503620"/>
    <w:rsid w:val="00507D82"/>
    <w:rsid w:val="005301D0"/>
    <w:rsid w:val="00546366"/>
    <w:rsid w:val="00546D89"/>
    <w:rsid w:val="00552E42"/>
    <w:rsid w:val="005852AB"/>
    <w:rsid w:val="00591C86"/>
    <w:rsid w:val="005C552B"/>
    <w:rsid w:val="005D11C2"/>
    <w:rsid w:val="00616D69"/>
    <w:rsid w:val="00642082"/>
    <w:rsid w:val="00647CE5"/>
    <w:rsid w:val="00663643"/>
    <w:rsid w:val="00667212"/>
    <w:rsid w:val="0069122E"/>
    <w:rsid w:val="00692447"/>
    <w:rsid w:val="006970B7"/>
    <w:rsid w:val="006C3A74"/>
    <w:rsid w:val="006C6D31"/>
    <w:rsid w:val="006D57D5"/>
    <w:rsid w:val="006E2229"/>
    <w:rsid w:val="006E22D0"/>
    <w:rsid w:val="006F32B8"/>
    <w:rsid w:val="006F3D69"/>
    <w:rsid w:val="006F3E49"/>
    <w:rsid w:val="00737D72"/>
    <w:rsid w:val="00777088"/>
    <w:rsid w:val="00782538"/>
    <w:rsid w:val="00784A42"/>
    <w:rsid w:val="00792C02"/>
    <w:rsid w:val="007A45D1"/>
    <w:rsid w:val="007C399C"/>
    <w:rsid w:val="007C7537"/>
    <w:rsid w:val="007D1E16"/>
    <w:rsid w:val="0080505D"/>
    <w:rsid w:val="008538CC"/>
    <w:rsid w:val="008548FC"/>
    <w:rsid w:val="0086439D"/>
    <w:rsid w:val="008740CE"/>
    <w:rsid w:val="008961F5"/>
    <w:rsid w:val="008976B3"/>
    <w:rsid w:val="008A13B6"/>
    <w:rsid w:val="008C2F72"/>
    <w:rsid w:val="008D4235"/>
    <w:rsid w:val="008F518D"/>
    <w:rsid w:val="009311E1"/>
    <w:rsid w:val="0094451F"/>
    <w:rsid w:val="00945D2C"/>
    <w:rsid w:val="009577C2"/>
    <w:rsid w:val="00961EB3"/>
    <w:rsid w:val="00970956"/>
    <w:rsid w:val="00980E94"/>
    <w:rsid w:val="009869AE"/>
    <w:rsid w:val="00996C92"/>
    <w:rsid w:val="009A6C8E"/>
    <w:rsid w:val="009E3370"/>
    <w:rsid w:val="009E6EAE"/>
    <w:rsid w:val="00A0561C"/>
    <w:rsid w:val="00A164CD"/>
    <w:rsid w:val="00A353CE"/>
    <w:rsid w:val="00A640A5"/>
    <w:rsid w:val="00A72B68"/>
    <w:rsid w:val="00A7314C"/>
    <w:rsid w:val="00A8356C"/>
    <w:rsid w:val="00A9511F"/>
    <w:rsid w:val="00A978E8"/>
    <w:rsid w:val="00AB06EC"/>
    <w:rsid w:val="00AB4E98"/>
    <w:rsid w:val="00AB7983"/>
    <w:rsid w:val="00AC686B"/>
    <w:rsid w:val="00AD0E4C"/>
    <w:rsid w:val="00B018E6"/>
    <w:rsid w:val="00B1646E"/>
    <w:rsid w:val="00B1701F"/>
    <w:rsid w:val="00B602E6"/>
    <w:rsid w:val="00B80158"/>
    <w:rsid w:val="00BA211A"/>
    <w:rsid w:val="00BA4206"/>
    <w:rsid w:val="00BA4A17"/>
    <w:rsid w:val="00BD1FCD"/>
    <w:rsid w:val="00BD7123"/>
    <w:rsid w:val="00BE0897"/>
    <w:rsid w:val="00BE4DBB"/>
    <w:rsid w:val="00BE6CFF"/>
    <w:rsid w:val="00C33FC3"/>
    <w:rsid w:val="00C57CF4"/>
    <w:rsid w:val="00C77BEA"/>
    <w:rsid w:val="00C96964"/>
    <w:rsid w:val="00C96E2C"/>
    <w:rsid w:val="00CB3144"/>
    <w:rsid w:val="00CE1D3E"/>
    <w:rsid w:val="00CE6538"/>
    <w:rsid w:val="00D24A3B"/>
    <w:rsid w:val="00D27FF5"/>
    <w:rsid w:val="00D46770"/>
    <w:rsid w:val="00D62A58"/>
    <w:rsid w:val="00D74E63"/>
    <w:rsid w:val="00D77B4D"/>
    <w:rsid w:val="00D8739C"/>
    <w:rsid w:val="00D95969"/>
    <w:rsid w:val="00DA50F9"/>
    <w:rsid w:val="00DA60FE"/>
    <w:rsid w:val="00DB2794"/>
    <w:rsid w:val="00DB740D"/>
    <w:rsid w:val="00DD6F39"/>
    <w:rsid w:val="00DE57A1"/>
    <w:rsid w:val="00DF5146"/>
    <w:rsid w:val="00E11A98"/>
    <w:rsid w:val="00E137A2"/>
    <w:rsid w:val="00E6591F"/>
    <w:rsid w:val="00E71F72"/>
    <w:rsid w:val="00E85530"/>
    <w:rsid w:val="00EB3111"/>
    <w:rsid w:val="00EB3DC1"/>
    <w:rsid w:val="00ED0FCD"/>
    <w:rsid w:val="00EE1D0B"/>
    <w:rsid w:val="00EF2F51"/>
    <w:rsid w:val="00F662B9"/>
    <w:rsid w:val="00F83763"/>
    <w:rsid w:val="00F846E4"/>
    <w:rsid w:val="00FA4848"/>
    <w:rsid w:val="00FB2FE3"/>
    <w:rsid w:val="00FC1383"/>
    <w:rsid w:val="00FC3299"/>
    <w:rsid w:val="00FC4E28"/>
    <w:rsid w:val="00FC7AC3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A1F80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1A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1A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BFD1-F4FB-441D-BAB7-27CCE056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3</cp:revision>
  <cp:lastPrinted>2018-03-12T15:07:00Z</cp:lastPrinted>
  <dcterms:created xsi:type="dcterms:W3CDTF">2024-05-11T13:49:00Z</dcterms:created>
  <dcterms:modified xsi:type="dcterms:W3CDTF">2024-05-11T14:30:00Z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